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DejaVu Sans" w:hAnsi="DejaVu Sans"/>
          <w:sz w:val="32"/>
          <w:szCs w:val="32"/>
        </w:rPr>
      </w:pPr>
      <w:r>
        <w:rPr>
          <w:rFonts w:ascii="DejaVu Sans" w:hAnsi="DejaVu Sans"/>
          <w:sz w:val="32"/>
          <w:szCs w:val="32"/>
        </w:rPr>
        <w:t>ZONING CHANGE FOR 600 GALISTEO GOES TO</w:t>
      </w:r>
    </w:p>
    <w:p>
      <w:pPr>
        <w:pStyle w:val="Normal"/>
        <w:jc w:val="center"/>
        <w:rPr>
          <w:rFonts w:ascii="DejaVu Sans" w:hAnsi="DejaVu Sans"/>
          <w:sz w:val="32"/>
          <w:szCs w:val="32"/>
        </w:rPr>
      </w:pPr>
      <w:r>
        <w:rPr>
          <w:rFonts w:ascii="DejaVu Sans" w:hAnsi="DejaVu Sans"/>
          <w:sz w:val="32"/>
          <w:szCs w:val="32"/>
        </w:rPr>
        <w:t>THE PLANNING COMMISSION APRIL 2</w:t>
      </w:r>
    </w:p>
    <w:p>
      <w:pPr>
        <w:pStyle w:val="Normal"/>
        <w:jc w:val="center"/>
        <w:rPr>
          <w:rFonts w:ascii="DejaVu Sans" w:hAnsi="DejaVu Sans"/>
          <w:sz w:val="32"/>
          <w:szCs w:val="32"/>
        </w:rPr>
      </w:pPr>
      <w:r>
        <w:rPr>
          <w:rFonts w:ascii="DejaVu Sans" w:hAnsi="DejaVu Sans"/>
          <w:sz w:val="32"/>
          <w:szCs w:val="32"/>
        </w:rPr>
      </w:r>
    </w:p>
    <w:p>
      <w:pPr>
        <w:pStyle w:val="Normal"/>
        <w:jc w:val="left"/>
        <w:rPr>
          <w:rFonts w:ascii="DejaVu Sans" w:hAnsi="DejaVu Sans"/>
          <w:sz w:val="24"/>
          <w:szCs w:val="24"/>
        </w:rPr>
      </w:pPr>
      <w:r>
        <w:rPr>
          <w:rFonts w:ascii="DejaVu Sans" w:hAnsi="DejaVu Sans"/>
          <w:sz w:val="24"/>
          <w:szCs w:val="24"/>
        </w:rPr>
        <w:t>Last May, there was an ENN to discuss a zoning change for 600 Galisteo from R-21 (residential) to BCD (Business Capitol District – downtown commercial).</w:t>
      </w:r>
    </w:p>
    <w:p>
      <w:pPr>
        <w:pStyle w:val="Normal"/>
        <w:jc w:val="left"/>
        <w:rPr>
          <w:rFonts w:ascii="DejaVu Sans" w:hAnsi="DejaVu Sans"/>
          <w:sz w:val="24"/>
          <w:szCs w:val="24"/>
        </w:rPr>
      </w:pPr>
      <w:r>
        <w:rPr>
          <w:rFonts w:ascii="DejaVu Sans" w:hAnsi="DejaVu Sans"/>
          <w:sz w:val="24"/>
          <w:szCs w:val="24"/>
        </w:rPr>
      </w:r>
    </w:p>
    <w:p>
      <w:pPr>
        <w:pStyle w:val="Normal"/>
        <w:jc w:val="left"/>
        <w:rPr>
          <w:rFonts w:ascii="DejaVu Sans" w:hAnsi="DejaVu Sans"/>
          <w:sz w:val="24"/>
          <w:szCs w:val="24"/>
        </w:rPr>
      </w:pPr>
      <w:r>
        <w:rPr>
          <w:rFonts w:ascii="DejaVu Sans" w:hAnsi="DejaVu Sans"/>
          <w:sz w:val="24"/>
          <w:szCs w:val="24"/>
        </w:rPr>
        <w:t>At that meeting, the neighbors said that they thought that BCD was too intense a zoning for that small lot.  However, they were willing to work with the Ortiz family, as they have in the past, to find a suitable use for that property that would benefit both the family and the neighbors.</w:t>
      </w:r>
    </w:p>
    <w:p>
      <w:pPr>
        <w:pStyle w:val="Normal"/>
        <w:jc w:val="left"/>
        <w:rPr>
          <w:rFonts w:ascii="DejaVu Sans" w:hAnsi="DejaVu Sans"/>
          <w:sz w:val="24"/>
          <w:szCs w:val="24"/>
        </w:rPr>
      </w:pPr>
      <w:r>
        <w:rPr>
          <w:rFonts w:ascii="DejaVu Sans" w:hAnsi="DejaVu Sans"/>
          <w:sz w:val="24"/>
          <w:szCs w:val="24"/>
        </w:rPr>
      </w:r>
    </w:p>
    <w:p>
      <w:pPr>
        <w:pStyle w:val="Normal"/>
        <w:jc w:val="left"/>
        <w:rPr>
          <w:rFonts w:ascii="DejaVu Sans" w:hAnsi="DejaVu Sans"/>
          <w:sz w:val="24"/>
          <w:szCs w:val="24"/>
        </w:rPr>
      </w:pPr>
      <w:r>
        <w:rPr>
          <w:rFonts w:ascii="DejaVu Sans" w:hAnsi="DejaVu Sans"/>
          <w:sz w:val="24"/>
          <w:szCs w:val="24"/>
        </w:rPr>
        <w:t>Unfortunately, City Land Use staff has taken the position that the only zoning category to which this property can be rezoned is BCD, although other, less intense categories would seem to fit the location and the property more appropriately.  And rezoning to BCD would set a precedent that might spread through the surrounding neighborhoods.</w:t>
      </w:r>
    </w:p>
    <w:p>
      <w:pPr>
        <w:pStyle w:val="Normal"/>
        <w:jc w:val="left"/>
        <w:rPr>
          <w:rFonts w:ascii="DejaVu Sans" w:hAnsi="DejaVu Sans"/>
          <w:sz w:val="24"/>
          <w:szCs w:val="24"/>
        </w:rPr>
      </w:pPr>
      <w:r>
        <w:rPr>
          <w:rFonts w:ascii="DejaVu Sans" w:hAnsi="DejaVu Sans"/>
          <w:sz w:val="24"/>
          <w:szCs w:val="24"/>
        </w:rPr>
      </w:r>
    </w:p>
    <w:p>
      <w:pPr>
        <w:pStyle w:val="Normal"/>
        <w:jc w:val="left"/>
        <w:rPr>
          <w:rFonts w:ascii="DejaVu Sans" w:hAnsi="DejaVu Sans"/>
          <w:sz w:val="24"/>
          <w:szCs w:val="24"/>
        </w:rPr>
      </w:pPr>
      <w:r>
        <w:rPr>
          <w:rFonts w:ascii="DejaVu Sans" w:hAnsi="DejaVu Sans"/>
          <w:sz w:val="24"/>
          <w:szCs w:val="24"/>
        </w:rPr>
        <w:t>BCD zoning could allow everything from small shops to bars to service stations to inns.  And even though other zoning categories may allow some of these same uses, BCD zoning doesn't offer the surrounding neighborhoods the protections  that these other categories entail, like having a public hearing or having to obtain a special use permit.</w:t>
      </w:r>
    </w:p>
    <w:p>
      <w:pPr>
        <w:pStyle w:val="Normal"/>
        <w:jc w:val="left"/>
        <w:rPr>
          <w:rFonts w:ascii="DejaVu Sans" w:hAnsi="DejaVu Sans"/>
          <w:sz w:val="24"/>
          <w:szCs w:val="24"/>
        </w:rPr>
      </w:pPr>
      <w:r>
        <w:rPr>
          <w:rFonts w:ascii="DejaVu Sans" w:hAnsi="DejaVu Sans"/>
          <w:sz w:val="24"/>
          <w:szCs w:val="24"/>
        </w:rPr>
      </w:r>
    </w:p>
    <w:p>
      <w:pPr>
        <w:pStyle w:val="Normal"/>
        <w:jc w:val="left"/>
        <w:rPr>
          <w:rFonts w:ascii="DejaVu Sans" w:hAnsi="DejaVu Sans"/>
          <w:sz w:val="24"/>
          <w:szCs w:val="24"/>
        </w:rPr>
      </w:pPr>
      <w:r>
        <w:rPr>
          <w:rFonts w:ascii="DejaVu Sans" w:hAnsi="DejaVu Sans"/>
          <w:sz w:val="24"/>
          <w:szCs w:val="24"/>
        </w:rPr>
        <w:t>The neighborhoods would like to work with the Ortiz family to find suitable zoning for this property and we would like the city to give us the chance to do so.</w:t>
      </w:r>
    </w:p>
    <w:p>
      <w:pPr>
        <w:pStyle w:val="Normal"/>
        <w:jc w:val="left"/>
        <w:rPr>
          <w:rFonts w:ascii="DejaVu Sans" w:hAnsi="DejaVu Sans"/>
          <w:b/>
          <w:bCs/>
          <w:sz w:val="24"/>
          <w:szCs w:val="24"/>
        </w:rPr>
      </w:pPr>
      <w:r>
        <w:rPr>
          <w:rFonts w:ascii="DejaVu Sans" w:hAnsi="DejaVu Sans"/>
          <w:b/>
          <w:bCs/>
          <w:sz w:val="24"/>
          <w:szCs w:val="24"/>
        </w:rPr>
      </w:r>
    </w:p>
    <w:p>
      <w:pPr>
        <w:pStyle w:val="Normal"/>
        <w:jc w:val="left"/>
        <w:rPr>
          <w:rFonts w:ascii="DejaVu Sans" w:hAnsi="DejaVu Sans"/>
          <w:b/>
          <w:bCs/>
          <w:sz w:val="24"/>
          <w:szCs w:val="24"/>
        </w:rPr>
      </w:pPr>
      <w:r>
        <w:rPr>
          <w:rFonts w:ascii="DejaVu Sans" w:hAnsi="DejaVu Sans"/>
          <w:b/>
          <w:bCs/>
          <w:sz w:val="24"/>
          <w:szCs w:val="24"/>
        </w:rPr>
        <w:t>This case has been scheduled for a public hearing at the Planning Commission on Thursday, April 2 at 4 PM in Sweeney Ballroom F at the Convention Center (note change from the regular time and location).</w:t>
      </w:r>
    </w:p>
    <w:p>
      <w:pPr>
        <w:pStyle w:val="Normal"/>
        <w:jc w:val="left"/>
        <w:rPr>
          <w:rFonts w:ascii="DejaVu Sans" w:hAnsi="DejaVu Sans"/>
          <w:b/>
          <w:bCs/>
          <w:sz w:val="24"/>
          <w:szCs w:val="24"/>
        </w:rPr>
      </w:pPr>
      <w:r>
        <w:rPr>
          <w:rFonts w:ascii="DejaVu Sans" w:hAnsi="DejaVu Sans"/>
          <w:b/>
          <w:bCs/>
          <w:sz w:val="24"/>
          <w:szCs w:val="24"/>
        </w:rPr>
      </w:r>
    </w:p>
    <w:p>
      <w:pPr>
        <w:pStyle w:val="Normal"/>
        <w:jc w:val="left"/>
        <w:rPr>
          <w:rFonts w:ascii="DejaVu Sans" w:hAnsi="DejaVu Sans"/>
          <w:b w:val="false"/>
          <w:bCs w:val="false"/>
          <w:sz w:val="24"/>
          <w:szCs w:val="24"/>
        </w:rPr>
      </w:pPr>
      <w:r>
        <w:rPr>
          <w:rFonts w:ascii="DejaVu Sans" w:hAnsi="DejaVu Sans"/>
          <w:b/>
          <w:bCs/>
          <w:sz w:val="24"/>
          <w:szCs w:val="24"/>
        </w:rPr>
        <w:t xml:space="preserve">Please attend and have your voice heard on this important issue.  </w:t>
      </w:r>
      <w:r>
        <w:rPr>
          <w:rFonts w:ascii="DejaVu Sans" w:hAnsi="DejaVu Sans"/>
          <w:b w:val="false"/>
          <w:bCs w:val="false"/>
          <w:sz w:val="24"/>
          <w:szCs w:val="24"/>
        </w:rPr>
        <w:t>Please try to get there early</w:t>
      </w:r>
      <w:r>
        <w:rPr>
          <w:rFonts w:ascii="DejaVu Sans" w:hAnsi="DejaVu Sans"/>
          <w:b w:val="false"/>
          <w:bCs w:val="false"/>
          <w:sz w:val="24"/>
          <w:szCs w:val="24"/>
        </w:rPr>
        <w:t xml:space="preserve">, </w:t>
      </w:r>
      <w:r>
        <w:rPr>
          <w:rFonts w:ascii="DejaVu Sans" w:hAnsi="DejaVu Sans"/>
          <w:b w:val="false"/>
          <w:bCs w:val="false"/>
          <w:sz w:val="24"/>
          <w:szCs w:val="24"/>
        </w:rPr>
        <w:t>as there is another big rezoning case following this one and space may be limited.</w:t>
      </w:r>
    </w:p>
    <w:p>
      <w:pPr>
        <w:pStyle w:val="Normal"/>
        <w:jc w:val="left"/>
        <w:rPr>
          <w:rFonts w:ascii="DejaVu Sans" w:hAnsi="DejaVu Sans"/>
          <w:b/>
          <w:bCs/>
          <w:sz w:val="24"/>
          <w:szCs w:val="24"/>
        </w:rPr>
      </w:pPr>
      <w:r>
        <w:rPr>
          <w:rFonts w:ascii="DejaVu Sans" w:hAnsi="DejaVu Sans"/>
          <w:b/>
          <w:bCs/>
          <w:sz w:val="24"/>
          <w:szCs w:val="24"/>
        </w:rPr>
      </w:r>
    </w:p>
    <w:p>
      <w:pPr>
        <w:pStyle w:val="Normal"/>
        <w:jc w:val="left"/>
        <w:rPr>
          <w:rFonts w:ascii="DejaVu Sans" w:hAnsi="DejaVu Sans"/>
          <w:b w:val="false"/>
          <w:bCs w:val="false"/>
          <w:sz w:val="24"/>
          <w:szCs w:val="24"/>
        </w:rPr>
      </w:pPr>
      <w:r>
        <w:rPr>
          <w:rFonts w:ascii="DejaVu Sans" w:hAnsi="DejaVu Sans"/>
          <w:b w:val="false"/>
          <w:bCs w:val="false"/>
          <w:sz w:val="24"/>
          <w:szCs w:val="24"/>
        </w:rPr>
        <w:t>For more information, contact:</w:t>
      </w:r>
    </w:p>
    <w:p>
      <w:pPr>
        <w:pStyle w:val="Normal"/>
        <w:jc w:val="left"/>
        <w:rPr>
          <w:rFonts w:ascii="DejaVu Sans" w:hAnsi="DejaVu Sans"/>
          <w:b/>
          <w:bCs/>
          <w:sz w:val="24"/>
          <w:szCs w:val="24"/>
        </w:rPr>
      </w:pPr>
      <w:r>
        <w:rPr>
          <w:rFonts w:ascii="DejaVu Sans" w:hAnsi="DejaVu Sans"/>
          <w:b/>
          <w:bCs/>
          <w:sz w:val="24"/>
          <w:szCs w:val="24"/>
        </w:rPr>
      </w:r>
    </w:p>
    <w:p>
      <w:pPr>
        <w:pStyle w:val="Normal"/>
        <w:jc w:val="left"/>
        <w:rPr>
          <w:rFonts w:ascii="DejaVu Sans" w:hAnsi="DejaVu Sans"/>
          <w:b/>
          <w:bCs/>
          <w:sz w:val="24"/>
          <w:szCs w:val="24"/>
        </w:rPr>
      </w:pPr>
      <w:r>
        <w:rPr>
          <w:rFonts w:ascii="DejaVu Sans" w:hAnsi="DejaVu Sans"/>
          <w:b/>
          <w:bCs/>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ans">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2015-03-22T15:35:59Z</dcterms:created>
  <dc:language>en-US</dc:language>
  <cp:lastPrinted>2015-03-22T16:01:59Z</cp:lastPrinted>
  <cp:revision>0</cp:revision>
</cp:coreProperties>
</file>